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8E682F">
            <w:pPr>
              <w:pStyle w:val="Heading5"/>
              <w:tabs>
                <w:tab w:val="center" w:pos="1680"/>
                <w:tab w:val="center" w:pos="6240"/>
              </w:tabs>
              <w:jc w:val="center"/>
              <w:rPr>
                <w:sz w:val="26"/>
              </w:rPr>
            </w:pPr>
            <w:r>
              <w:rPr>
                <w:sz w:val="26"/>
              </w:rPr>
              <w:t>HỘI ĐỒNG THUỐC VÀ ĐIỀU TRỊ</w:t>
            </w:r>
          </w:p>
          <w:p w:rsidR="00C84310" w:rsidRPr="002F4532" w:rsidRDefault="002E6616" w:rsidP="008E682F">
            <w:pPr>
              <w:jc w:val="center"/>
              <w:rPr>
                <w:b/>
              </w:rPr>
            </w:pPr>
            <w:r>
              <w:rPr>
                <w:noProof/>
                <w:spacing w:val="-10"/>
                <w:sz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58.95pt;margin-top:17.1pt;width:61.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8E682F">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2E6616" w:rsidP="008E682F">
            <w:pPr>
              <w:pStyle w:val="Heading5"/>
              <w:tabs>
                <w:tab w:val="center" w:pos="1680"/>
                <w:tab w:val="center" w:pos="6240"/>
              </w:tabs>
              <w:jc w:val="center"/>
              <w:rPr>
                <w:b/>
                <w:spacing w:val="-10"/>
                <w:sz w:val="26"/>
              </w:rPr>
            </w:pPr>
            <w:r>
              <w:rPr>
                <w:b/>
                <w:noProof/>
                <w:spacing w:val="-10"/>
              </w:rPr>
              <w:pict>
                <v:shape id="Straight Arrow Connector 1" o:spid="_x0000_s1027" type="#_x0000_t32" style="position:absolute;left:0;text-align:left;margin-left:55.25pt;margin-top:14.85pt;width:158.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8E682F">
            <w:pPr>
              <w:pStyle w:val="Heading5"/>
              <w:tabs>
                <w:tab w:val="center" w:pos="1680"/>
                <w:tab w:val="center" w:pos="6240"/>
              </w:tabs>
              <w:jc w:val="center"/>
              <w:rPr>
                <w:spacing w:val="-10"/>
                <w:sz w:val="26"/>
              </w:rPr>
            </w:pPr>
          </w:p>
        </w:tc>
      </w:tr>
    </w:tbl>
    <w:p w:rsidR="006D4D7D" w:rsidRDefault="005B110A" w:rsidP="006D4D7D">
      <w:pPr>
        <w:ind w:left="1440" w:firstLine="720"/>
        <w:rPr>
          <w:b/>
          <w:szCs w:val="28"/>
        </w:rPr>
      </w:pPr>
      <w:r>
        <w:rPr>
          <w:b/>
          <w:szCs w:val="28"/>
        </w:rPr>
        <w:t xml:space="preserve">      </w:t>
      </w:r>
      <w:r w:rsidR="00576835" w:rsidRPr="0022213F">
        <w:rPr>
          <w:b/>
          <w:szCs w:val="28"/>
        </w:rPr>
        <w:t xml:space="preserve">THÔNG TIN THUỐC THÁNG </w:t>
      </w:r>
      <w:r w:rsidR="004F7696">
        <w:rPr>
          <w:b/>
          <w:szCs w:val="28"/>
        </w:rPr>
        <w:t>0</w:t>
      </w:r>
      <w:r w:rsidR="001C51AF">
        <w:rPr>
          <w:b/>
          <w:szCs w:val="28"/>
        </w:rPr>
        <w:t>6</w:t>
      </w:r>
      <w:r w:rsidR="004B36CA">
        <w:rPr>
          <w:b/>
          <w:szCs w:val="28"/>
        </w:rPr>
        <w:t>/2021</w:t>
      </w:r>
    </w:p>
    <w:p w:rsidR="00F72783" w:rsidRPr="00E4402C" w:rsidRDefault="00362BF5" w:rsidP="00F72783">
      <w:pPr>
        <w:pStyle w:val="ListParagraph"/>
        <w:numPr>
          <w:ilvl w:val="0"/>
          <w:numId w:val="13"/>
        </w:numPr>
        <w:spacing w:after="0" w:line="240" w:lineRule="auto"/>
        <w:jc w:val="both"/>
        <w:rPr>
          <w:rFonts w:eastAsia="Times New Roman" w:cs="Times New Roman"/>
          <w:b/>
          <w:szCs w:val="28"/>
          <w:highlight w:val="yellow"/>
        </w:rPr>
      </w:pPr>
      <w:r w:rsidRPr="00E4402C">
        <w:rPr>
          <w:rFonts w:eastAsia="Times New Roman" w:cs="Times New Roman"/>
          <w:b/>
          <w:szCs w:val="28"/>
          <w:highlight w:val="yellow"/>
        </w:rPr>
        <w:t>Nguy cơ tử vong do quá liều và các trường hợp ngộ độc colchicin tại New Zealand</w:t>
      </w:r>
    </w:p>
    <w:p w:rsidR="00362BF5" w:rsidRPr="00F72783" w:rsidRDefault="00362BF5" w:rsidP="00F72783">
      <w:pPr>
        <w:spacing w:after="0" w:line="240" w:lineRule="auto"/>
        <w:jc w:val="both"/>
        <w:rPr>
          <w:rFonts w:cs="Times New Roman"/>
          <w:b/>
          <w:szCs w:val="28"/>
        </w:rPr>
      </w:pPr>
      <w:r w:rsidRPr="00F72783">
        <w:rPr>
          <w:rFonts w:eastAsia="Times New Roman" w:cs="Times New Roman"/>
          <w:b/>
          <w:szCs w:val="28"/>
        </w:rPr>
        <w:t xml:space="preserve"> </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xml:space="preserve">- Colchicin là thuốc có khoảng điều trị hẹp. </w:t>
      </w:r>
      <w:proofErr w:type="gramStart"/>
      <w:r w:rsidRPr="00362BF5">
        <w:rPr>
          <w:rFonts w:eastAsia="Times New Roman" w:cs="Times New Roman"/>
          <w:szCs w:val="28"/>
        </w:rPr>
        <w:t>Quá liều colchicin dẫn đến nguy cơ tử vong cao và hiện chưa có phương pháp điều trị hiệu quả cho trường hợp ngộ độc colchicin nặng.</w:t>
      </w:r>
      <w:proofErr w:type="gramEnd"/>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Trung tâm Chất độc Quốc gia của New Zealand chỉ ra một số nguyên nhân phổ biến dẫn đến ngộ độc colchicin</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xml:space="preserve">- Trao đổi cụ thể với người bệnh về sử dụng đúng liều, bảo quản </w:t>
      </w:r>
      <w:proofErr w:type="gramStart"/>
      <w:r w:rsidRPr="00362BF5">
        <w:rPr>
          <w:rFonts w:eastAsia="Times New Roman" w:cs="Times New Roman"/>
          <w:szCs w:val="28"/>
        </w:rPr>
        <w:t>an</w:t>
      </w:r>
      <w:proofErr w:type="gramEnd"/>
      <w:r w:rsidRPr="00362BF5">
        <w:rPr>
          <w:rFonts w:eastAsia="Times New Roman" w:cs="Times New Roman"/>
          <w:szCs w:val="28"/>
        </w:rPr>
        <w:t xml:space="preserve"> toàn và xử lý thuốc còn thừa phù hợp nhằm giảm nguy cơ gây hại của thuốc</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w:t>
      </w:r>
      <w:r w:rsidRPr="00F72783">
        <w:rPr>
          <w:rFonts w:eastAsia="Times New Roman" w:cs="Times New Roman"/>
          <w:b/>
          <w:bCs/>
          <w:szCs w:val="28"/>
        </w:rPr>
        <w:t>Chỉ định và liều dùng colchicin</w:t>
      </w:r>
    </w:p>
    <w:p w:rsidR="00362BF5" w:rsidRPr="00362BF5" w:rsidRDefault="00362BF5" w:rsidP="00F72783">
      <w:pPr>
        <w:spacing w:after="0" w:line="240" w:lineRule="auto"/>
        <w:jc w:val="both"/>
        <w:rPr>
          <w:rFonts w:eastAsia="Times New Roman" w:cs="Times New Roman"/>
          <w:szCs w:val="28"/>
        </w:rPr>
      </w:pPr>
      <w:proofErr w:type="gramStart"/>
      <w:r w:rsidRPr="00362BF5">
        <w:rPr>
          <w:rFonts w:eastAsia="Times New Roman" w:cs="Times New Roman"/>
          <w:szCs w:val="28"/>
        </w:rPr>
        <w:t>Colchicin được chỉ định điều trị cơn gout cấp khi các thuốc chống viêm non-steroid không có tác dụng, không dung nạp được hoặc chống chỉ định.</w:t>
      </w:r>
      <w:proofErr w:type="gramEnd"/>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Liều được chấp thuận cho điều trị gout là 1 mg (2 viên) khi có dấu hiệu khởi phát đầu tiên, tiếp theo là 0</w:t>
      </w:r>
      <w:proofErr w:type="gramStart"/>
      <w:r w:rsidRPr="00362BF5">
        <w:rPr>
          <w:rFonts w:eastAsia="Times New Roman" w:cs="Times New Roman"/>
          <w:szCs w:val="28"/>
        </w:rPr>
        <w:t>,5</w:t>
      </w:r>
      <w:proofErr w:type="gramEnd"/>
      <w:r w:rsidRPr="00362BF5">
        <w:rPr>
          <w:rFonts w:eastAsia="Times New Roman" w:cs="Times New Roman"/>
          <w:szCs w:val="28"/>
        </w:rPr>
        <w:t xml:space="preserve"> mg (1 viên) 1 giờ sau đó. Liều cao hơn không cho thấy tăng hiệu quả điều trị. Liều tối đa được khuyến cáo khi điều trị cơn gout cấp là 1</w:t>
      </w:r>
      <w:proofErr w:type="gramStart"/>
      <w:r w:rsidRPr="00362BF5">
        <w:rPr>
          <w:rFonts w:eastAsia="Times New Roman" w:cs="Times New Roman"/>
          <w:szCs w:val="28"/>
        </w:rPr>
        <w:t>,5</w:t>
      </w:r>
      <w:proofErr w:type="gramEnd"/>
      <w:r w:rsidRPr="00362BF5">
        <w:rPr>
          <w:rFonts w:eastAsia="Times New Roman" w:cs="Times New Roman"/>
          <w:szCs w:val="28"/>
        </w:rPr>
        <w:t xml:space="preserve"> mg (3 viên) trong khoảng thời gian 1 giờ. </w:t>
      </w:r>
      <w:proofErr w:type="gramStart"/>
      <w:r w:rsidRPr="00362BF5">
        <w:rPr>
          <w:rFonts w:eastAsia="Times New Roman" w:cs="Times New Roman"/>
          <w:szCs w:val="28"/>
        </w:rPr>
        <w:t>Một đợt điều trị colchicin không nên lặp lại trong vòng 3 ngày.</w:t>
      </w:r>
      <w:proofErr w:type="gramEnd"/>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w:t>
      </w:r>
      <w:r w:rsidRPr="00F72783">
        <w:rPr>
          <w:rFonts w:eastAsia="Times New Roman" w:cs="Times New Roman"/>
          <w:b/>
          <w:bCs/>
          <w:szCs w:val="28"/>
        </w:rPr>
        <w:t>Colchicin có thể gây tử vong khi quá liều</w:t>
      </w:r>
    </w:p>
    <w:p w:rsidR="00362BF5" w:rsidRPr="00362BF5" w:rsidRDefault="00362BF5" w:rsidP="00F72783">
      <w:pPr>
        <w:spacing w:after="0" w:line="240" w:lineRule="auto"/>
        <w:jc w:val="both"/>
        <w:rPr>
          <w:rFonts w:eastAsia="Times New Roman" w:cs="Times New Roman"/>
          <w:szCs w:val="28"/>
        </w:rPr>
      </w:pPr>
      <w:proofErr w:type="gramStart"/>
      <w:r w:rsidRPr="00362BF5">
        <w:rPr>
          <w:rFonts w:eastAsia="Times New Roman" w:cs="Times New Roman"/>
          <w:szCs w:val="28"/>
        </w:rPr>
        <w:t>Colchicin có khoảng điều trị hẹp.</w:t>
      </w:r>
      <w:proofErr w:type="gramEnd"/>
      <w:r w:rsidRPr="00362BF5">
        <w:rPr>
          <w:rFonts w:eastAsia="Times New Roman" w:cs="Times New Roman"/>
          <w:szCs w:val="28"/>
        </w:rPr>
        <w:t xml:space="preserve"> </w:t>
      </w:r>
      <w:proofErr w:type="gramStart"/>
      <w:r w:rsidRPr="00362BF5">
        <w:rPr>
          <w:rFonts w:eastAsia="Times New Roman" w:cs="Times New Roman"/>
          <w:szCs w:val="28"/>
        </w:rPr>
        <w:t>Khác biệt giữa liều tác dụng và liều gây độc hiện vẫn chưa được xác định rõ.</w:t>
      </w:r>
      <w:proofErr w:type="gramEnd"/>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Các báo cáo đơn lẻ và chuỗi báo cáo cho thấy nguy cơ tử vong phụ thuộc liều dùng tăng lên đáng kể trong phạm vi liều colchicin hẹp từ 0</w:t>
      </w:r>
      <w:proofErr w:type="gramStart"/>
      <w:r w:rsidRPr="00362BF5">
        <w:rPr>
          <w:rFonts w:eastAsia="Times New Roman" w:cs="Times New Roman"/>
          <w:szCs w:val="28"/>
        </w:rPr>
        <w:t>,5</w:t>
      </w:r>
      <w:proofErr w:type="gramEnd"/>
      <w:r w:rsidRPr="00362BF5">
        <w:rPr>
          <w:rFonts w:eastAsia="Times New Roman" w:cs="Times New Roman"/>
          <w:szCs w:val="28"/>
        </w:rPr>
        <w:t>-1 mg/kg khi sử dụng trong thời gian ngắn. Ngay cả với mức liều dưới 0,5 mg/kg (thấp nhất là 0,18 mg/kg) cũng được xác định có liên quan đến các trường hợp tử vong tại New Zealand, với nhiều ca vô tình quá liều.</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Tử vong do độc tính của colchicin xảy ra ở người trưởng thành với liều thấp như 7mg khi sử dụng với mục đích điều trị.</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Nguy cơ gây độc tăng lên khi sử dụng đồng thời với các thuốc ức chế cytochrome P450 3A4 hoặc P-glycoprotein, và có bệnh mắc kèm như suy gan, suy thận.</w:t>
      </w:r>
    </w:p>
    <w:p w:rsidR="00362BF5" w:rsidRPr="00362BF5" w:rsidRDefault="00362BF5" w:rsidP="00F72783">
      <w:pPr>
        <w:spacing w:after="0" w:line="240" w:lineRule="auto"/>
        <w:jc w:val="both"/>
        <w:rPr>
          <w:rFonts w:eastAsia="Times New Roman" w:cs="Times New Roman"/>
          <w:szCs w:val="28"/>
        </w:rPr>
      </w:pPr>
      <w:proofErr w:type="gramStart"/>
      <w:r w:rsidRPr="00362BF5">
        <w:rPr>
          <w:rFonts w:eastAsia="Times New Roman" w:cs="Times New Roman"/>
          <w:szCs w:val="28"/>
        </w:rPr>
        <w:t>Hiện chưa có thuốc giải độc khi ngộ độc colchicin.</w:t>
      </w:r>
      <w:proofErr w:type="gramEnd"/>
      <w:r w:rsidRPr="00362BF5">
        <w:rPr>
          <w:rFonts w:eastAsia="Times New Roman" w:cs="Times New Roman"/>
          <w:szCs w:val="28"/>
        </w:rPr>
        <w:t xml:space="preserve"> </w:t>
      </w:r>
      <w:proofErr w:type="gramStart"/>
      <w:r w:rsidRPr="00362BF5">
        <w:rPr>
          <w:rFonts w:eastAsia="Times New Roman" w:cs="Times New Roman"/>
          <w:szCs w:val="28"/>
        </w:rPr>
        <w:t>Thường điều trị hỗ trợ và dùng than hoạt ở giai đoạn sớm.</w:t>
      </w:r>
      <w:proofErr w:type="gramEnd"/>
      <w:r w:rsidRPr="00362BF5">
        <w:rPr>
          <w:rFonts w:eastAsia="Times New Roman" w:cs="Times New Roman"/>
          <w:szCs w:val="28"/>
        </w:rPr>
        <w:t xml:space="preserve"> </w:t>
      </w:r>
      <w:proofErr w:type="gramStart"/>
      <w:r w:rsidRPr="00362BF5">
        <w:rPr>
          <w:rFonts w:eastAsia="Times New Roman" w:cs="Times New Roman"/>
          <w:szCs w:val="28"/>
        </w:rPr>
        <w:t>Ngộ độc colchicin có tỉ lệ tử vong cao.</w:t>
      </w:r>
      <w:proofErr w:type="gramEnd"/>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w:t>
      </w:r>
      <w:r w:rsidRPr="00F72783">
        <w:rPr>
          <w:rFonts w:eastAsia="Times New Roman" w:cs="Times New Roman"/>
          <w:b/>
          <w:bCs/>
          <w:szCs w:val="28"/>
        </w:rPr>
        <w:t>Ngộ độc colchicin tại New Zealand</w:t>
      </w:r>
    </w:p>
    <w:p w:rsidR="00362BF5" w:rsidRPr="00362BF5" w:rsidRDefault="00362BF5" w:rsidP="00F72783">
      <w:pPr>
        <w:spacing w:after="0" w:line="240" w:lineRule="auto"/>
        <w:jc w:val="both"/>
        <w:rPr>
          <w:rFonts w:eastAsia="Times New Roman" w:cs="Times New Roman"/>
          <w:szCs w:val="28"/>
        </w:rPr>
      </w:pPr>
      <w:proofErr w:type="gramStart"/>
      <w:r w:rsidRPr="00362BF5">
        <w:rPr>
          <w:rFonts w:eastAsia="Times New Roman" w:cs="Times New Roman"/>
          <w:szCs w:val="28"/>
        </w:rPr>
        <w:t>Từ 01/01/2016 đến 14/01/2021, Trung tâm chống độc quốc gia (NPC) nhận được 56 trường hợp đặc biệt liên quan đến ngộ độc colchicin.</w:t>
      </w:r>
      <w:proofErr w:type="gramEnd"/>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43% trường hợp có độ tuổi từ 1 đến 4 tuổi, 36% từ 20 đến 75 tuổi.</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lastRenderedPageBreak/>
        <w:t>Thông tin chi tiết về các trường hợp ngộ độc:</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Trẻ sử dụng thuốc vì tò mò: 43% trường hợp ngộ độc colchicin là trẻ mới biết đi và trẻ nhỏ (từ 1 đến 4 tuổi) sử dụng thuốc không được giám sát. Do trẻ còn nhỏ nên chỉ 1 lượng ít colchichine (1 hoặc 2 viên) cũng có nguy cơ gây độc – cần chuyển tuyến để đánh giá tình trạng bệnh.</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Sai sót trong điều trị: 35% trường hợp là người trưởng thành phơi nhiễm với liều trên mức điều trị. Nguyên nhân có thể do bệnh nhân hiểu sai cách sử dụng colchicin hoặc cố gắng tăng hiệu quả điều trị để giảm bớt các triệu chứng của gout.</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Tự đầu độc có chủ ý: bất kỳ trường hợp nào cố ý phơi nhiễm với colchicin đều có thể phải cấp cứu y tế, căn cứ vào mức độ ngộ độc nghiêm trọng và tỷ lệ tử vong cao liên quan đến quá liều colchicin.</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w:t>
      </w:r>
      <w:r w:rsidRPr="00F72783">
        <w:rPr>
          <w:rFonts w:eastAsia="Times New Roman" w:cs="Times New Roman"/>
          <w:b/>
          <w:bCs/>
          <w:szCs w:val="28"/>
        </w:rPr>
        <w:t>Giảm thiểu tác hại của colchicin trong cộng đồng</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Trao đổi với bệnh nhân về tầm quan quan trọng của việc bảo quản thuốc tránh xa tầm nhìn và tầm với của trẻ nhỏ</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Khuyến khích bệnh nhân trả lại thuốc dùng thừa hoặc hết hạn cho nhà thuốc để có biện pháp xử lý phù hợp</w:t>
      </w:r>
    </w:p>
    <w:p w:rsidR="00362BF5" w:rsidRPr="00362BF5" w:rsidRDefault="00362BF5" w:rsidP="00F72783">
      <w:pPr>
        <w:spacing w:after="0" w:line="240" w:lineRule="auto"/>
        <w:jc w:val="both"/>
        <w:rPr>
          <w:rFonts w:eastAsia="Times New Roman" w:cs="Times New Roman"/>
          <w:szCs w:val="28"/>
        </w:rPr>
      </w:pPr>
      <w:r w:rsidRPr="00362BF5">
        <w:rPr>
          <w:rFonts w:eastAsia="Times New Roman" w:cs="Times New Roman"/>
          <w:szCs w:val="28"/>
        </w:rPr>
        <w:t>- Khi cấp phát colchicin, trao đổi với bệnh nhân về bao bì chống trẻ em nếu người bệnh đồng ý.</w:t>
      </w:r>
    </w:p>
    <w:p w:rsidR="00362BF5" w:rsidRPr="00362BF5" w:rsidRDefault="00362BF5" w:rsidP="00F72783">
      <w:pPr>
        <w:spacing w:after="0" w:line="240" w:lineRule="auto"/>
        <w:jc w:val="both"/>
        <w:rPr>
          <w:rFonts w:eastAsia="Times New Roman" w:cs="Times New Roman"/>
          <w:szCs w:val="28"/>
        </w:rPr>
      </w:pPr>
      <w:proofErr w:type="gramStart"/>
      <w:r w:rsidRPr="00362BF5">
        <w:rPr>
          <w:rFonts w:eastAsia="Times New Roman" w:cs="Times New Roman"/>
          <w:szCs w:val="28"/>
        </w:rPr>
        <w:t>- Đảm bảo người bệnh hiểu thời gian sử dụng và cách sử dụng colchicin.</w:t>
      </w:r>
      <w:proofErr w:type="gramEnd"/>
      <w:r w:rsidRPr="00362BF5">
        <w:rPr>
          <w:rFonts w:eastAsia="Times New Roman" w:cs="Times New Roman"/>
          <w:szCs w:val="28"/>
        </w:rPr>
        <w:t> </w:t>
      </w:r>
    </w:p>
    <w:p w:rsidR="00F72783" w:rsidRPr="00F72783" w:rsidRDefault="00F72783" w:rsidP="00F72783">
      <w:pPr>
        <w:spacing w:after="0" w:line="240" w:lineRule="auto"/>
        <w:rPr>
          <w:rFonts w:eastAsia="Times New Roman" w:cs="Times New Roman"/>
          <w:szCs w:val="28"/>
        </w:rPr>
      </w:pPr>
    </w:p>
    <w:p w:rsidR="006D4D7D" w:rsidRPr="00E4402C" w:rsidRDefault="00F72783" w:rsidP="006D4D7D">
      <w:pPr>
        <w:pStyle w:val="ListParagraph"/>
        <w:numPr>
          <w:ilvl w:val="0"/>
          <w:numId w:val="13"/>
        </w:numPr>
        <w:spacing w:after="0" w:line="240" w:lineRule="auto"/>
        <w:rPr>
          <w:rFonts w:eastAsia="Times New Roman" w:cs="Times New Roman"/>
          <w:b/>
          <w:szCs w:val="28"/>
          <w:highlight w:val="yellow"/>
        </w:rPr>
      </w:pPr>
      <w:r w:rsidRPr="00E4402C">
        <w:rPr>
          <w:rFonts w:eastAsia="Times New Roman" w:cs="Times New Roman"/>
          <w:b/>
          <w:szCs w:val="28"/>
          <w:highlight w:val="yellow"/>
        </w:rPr>
        <w:t>TGA: Khuyến cáo an toàn khi sử dụng pregabalin và gabapentin nhằm nâng cao cảnh báo về việc lạm dụng và phụ thuộc vào thuốc</w:t>
      </w:r>
    </w:p>
    <w:p w:rsidR="00F72783" w:rsidRPr="006D4D7D" w:rsidRDefault="00F72783" w:rsidP="006D4D7D">
      <w:pPr>
        <w:pStyle w:val="ListParagraph"/>
        <w:spacing w:after="0" w:line="240" w:lineRule="auto"/>
        <w:rPr>
          <w:rFonts w:eastAsia="Times New Roman" w:cs="Times New Roman"/>
          <w:szCs w:val="28"/>
        </w:rPr>
      </w:pPr>
      <w:r w:rsidRPr="006D4D7D">
        <w:rPr>
          <w:rFonts w:eastAsia="Times New Roman" w:cs="Times New Roman"/>
          <w:szCs w:val="28"/>
        </w:rPr>
        <w:t xml:space="preserve"> </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Cơ quan quản lý dược phẩm Úc (</w:t>
      </w:r>
      <w:r w:rsidRPr="00F72783">
        <w:rPr>
          <w:rFonts w:eastAsia="Times New Roman" w:cs="Times New Roman"/>
          <w:i/>
          <w:iCs/>
          <w:szCs w:val="28"/>
        </w:rPr>
        <w:t>Therapeautic Goods Administration</w:t>
      </w:r>
      <w:r w:rsidRPr="00F72783">
        <w:rPr>
          <w:rFonts w:eastAsia="Times New Roman" w:cs="Times New Roman"/>
          <w:szCs w:val="28"/>
        </w:rPr>
        <w:t xml:space="preserve"> - TGA) quyết định bổ sung hộp cảnh báo (The Boxed Warnings) vào tờ thông tin sản phẩm pregabalin và gabapentin vào để nhắc nhở nguy cơ bệnh nhân dùng sai thuốc (pregabalin), lạm dụng hoặc phụ thuộc vào thuốc (pregabalin và gabapetin), và để theo dõi thuốc thường xuyên trong quá trình điều trị. Đồng thời, TGA cũng đưa ra khuyến cáo cho người sử dụng thuốc và cán bộ y tế.</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w:t>
      </w:r>
      <w:proofErr w:type="gramStart"/>
      <w:r w:rsidRPr="00F72783">
        <w:rPr>
          <w:rFonts w:eastAsia="Times New Roman" w:cs="Times New Roman"/>
          <w:szCs w:val="28"/>
        </w:rPr>
        <w:t>Pregabalin và gabapentin được sử dụng để điều trị bệnh đau thần kinh (đau bất thường hoặc do tổn thương dây thần kinh) và chứng động kinh.</w:t>
      </w:r>
      <w:proofErr w:type="gramEnd"/>
      <w:r w:rsidRPr="00F72783">
        <w:rPr>
          <w:rFonts w:eastAsia="Times New Roman" w:cs="Times New Roman"/>
          <w:szCs w:val="28"/>
        </w:rPr>
        <w:t xml:space="preserve"> </w:t>
      </w:r>
      <w:proofErr w:type="gramStart"/>
      <w:r w:rsidRPr="00F72783">
        <w:rPr>
          <w:rFonts w:eastAsia="Times New Roman" w:cs="Times New Roman"/>
          <w:szCs w:val="28"/>
        </w:rPr>
        <w:t>Việc lạm dụng và phụ thuộc vào thuốc (pregabalin và gabapentin), dùng sai thuốc (pregabalin) có thể dẫn đến các tác dụng phụ nghiêm trọng, trong đó có đe dọa tính mạng.</w:t>
      </w:r>
      <w:proofErr w:type="gramEnd"/>
      <w:r w:rsidRPr="00F72783">
        <w:rPr>
          <w:rFonts w:eastAsia="Times New Roman" w:cs="Times New Roman"/>
          <w:szCs w:val="28"/>
        </w:rPr>
        <w:t xml:space="preserve"> Những nguy cơ này cao hơn khi dùng phối hợp cùng các thuốc có tác dụng </w:t>
      </w:r>
      <w:proofErr w:type="gramStart"/>
      <w:r w:rsidRPr="00F72783">
        <w:rPr>
          <w:rFonts w:eastAsia="Times New Roman" w:cs="Times New Roman"/>
          <w:szCs w:val="28"/>
        </w:rPr>
        <w:t>an</w:t>
      </w:r>
      <w:proofErr w:type="gramEnd"/>
      <w:r w:rsidRPr="00F72783">
        <w:rPr>
          <w:rFonts w:eastAsia="Times New Roman" w:cs="Times New Roman"/>
          <w:szCs w:val="28"/>
        </w:rPr>
        <w:t xml:space="preserve"> thần (bao gồm những opioid).</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w:t>
      </w:r>
      <w:r w:rsidRPr="00F72783">
        <w:rPr>
          <w:rFonts w:eastAsia="Times New Roman" w:cs="Times New Roman"/>
          <w:b/>
          <w:bCs/>
          <w:szCs w:val="28"/>
        </w:rPr>
        <w:t>Thông tin cho bệnh nhân</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xml:space="preserve">- Cần nhận thức được những rủi ro của sự lạm dụng và phụ thuộc vào pregabalin hoặc gabapentin. Việc này có thể dẫn đến những tác dụng phụ nghiêm trọng, một trong số đó là đe dọa tính mạng, đặc biệt nếu những thuốc này được dùng phối hợp với các thuốc </w:t>
      </w:r>
      <w:proofErr w:type="gramStart"/>
      <w:r w:rsidRPr="00F72783">
        <w:rPr>
          <w:rFonts w:eastAsia="Times New Roman" w:cs="Times New Roman"/>
          <w:szCs w:val="28"/>
        </w:rPr>
        <w:t>an</w:t>
      </w:r>
      <w:proofErr w:type="gramEnd"/>
      <w:r w:rsidRPr="00F72783">
        <w:rPr>
          <w:rFonts w:eastAsia="Times New Roman" w:cs="Times New Roman"/>
          <w:szCs w:val="28"/>
        </w:rPr>
        <w:t xml:space="preserve"> thần khác và/hoặc sử dụng rượu.</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lastRenderedPageBreak/>
        <w:t>- Thông tin cho bác sĩ nếu như có tiền sử dùng sai, lạm dụng hoặc phụ thuộc vào thuốc, điều này sẽ giúp bác sĩ đánh giá mức độ phù hợp của thuốc với từng bệnh nhân.</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xml:space="preserve">- Khuyến cáo tuân </w:t>
      </w:r>
      <w:proofErr w:type="gramStart"/>
      <w:r w:rsidRPr="00F72783">
        <w:rPr>
          <w:rFonts w:eastAsia="Times New Roman" w:cs="Times New Roman"/>
          <w:szCs w:val="28"/>
        </w:rPr>
        <w:t>theo</w:t>
      </w:r>
      <w:proofErr w:type="gramEnd"/>
      <w:r w:rsidRPr="00F72783">
        <w:rPr>
          <w:rFonts w:eastAsia="Times New Roman" w:cs="Times New Roman"/>
          <w:szCs w:val="28"/>
        </w:rPr>
        <w:t xml:space="preserve"> chỉ định của bác sĩ, đặc biệt là liên quan đến liều dùng và không được đưa thuốc cho người khác sử dụng. </w:t>
      </w:r>
      <w:proofErr w:type="gramStart"/>
      <w:r w:rsidRPr="00F72783">
        <w:rPr>
          <w:rFonts w:eastAsia="Times New Roman" w:cs="Times New Roman"/>
          <w:szCs w:val="28"/>
        </w:rPr>
        <w:t>Không dừng thuốc đột ngột khi chưa hỏi ý kiến của nhân viên y tế.</w:t>
      </w:r>
      <w:proofErr w:type="gramEnd"/>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Nếu có bất kỳ câu hỏi hoặc băn khoăn về vấn đề này, trao đổi với bác sĩ điều trị để nhận được lời khuyên tốt nhất.</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w:t>
      </w:r>
      <w:r w:rsidRPr="00F72783">
        <w:rPr>
          <w:rFonts w:eastAsia="Times New Roman" w:cs="Times New Roman"/>
          <w:b/>
          <w:bCs/>
          <w:szCs w:val="28"/>
        </w:rPr>
        <w:t>Thông tin cho các nhân viên y tế:</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Kiểm tra tiền sử rối loạn sử dụng thuốc và các dấu hiệu lạm dụng hoặc phụ thuộc vào thuốc trước khi kê đơn pregabalin hoặc gabapentin.</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xml:space="preserve">- Theo dõi bệnh nhân thường xuyên trong quá trình điều trị, đặc biệt ở những bệnh nhân đã và đang sử dụng các thuốc opioid và/hoặc benzodiazepin. Chú ý </w:t>
      </w:r>
      <w:proofErr w:type="gramStart"/>
      <w:r w:rsidRPr="00F72783">
        <w:rPr>
          <w:rFonts w:eastAsia="Times New Roman" w:cs="Times New Roman"/>
          <w:szCs w:val="28"/>
        </w:rPr>
        <w:t>theo</w:t>
      </w:r>
      <w:proofErr w:type="gramEnd"/>
      <w:r w:rsidRPr="00F72783">
        <w:rPr>
          <w:rFonts w:eastAsia="Times New Roman" w:cs="Times New Roman"/>
          <w:szCs w:val="28"/>
        </w:rPr>
        <w:t xml:space="preserve"> dõi sự tăng liều hoặc lệ thuộc vào thuốc (drug-seeking behaviours).</w:t>
      </w:r>
    </w:p>
    <w:p w:rsidR="00F72783" w:rsidRP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xml:space="preserve">- Thận trọng khi kê đơn pregabalin hoặc gabapentin phối hợp với các opiod do nguy cơ gây ức chế thần kinh trung ương. Việc phối hợp với các opioid có thể dẫn đến </w:t>
      </w:r>
      <w:proofErr w:type="gramStart"/>
      <w:r w:rsidRPr="00F72783">
        <w:rPr>
          <w:rFonts w:eastAsia="Times New Roman" w:cs="Times New Roman"/>
          <w:szCs w:val="28"/>
        </w:rPr>
        <w:t>an</w:t>
      </w:r>
      <w:proofErr w:type="gramEnd"/>
      <w:r w:rsidRPr="00F72783">
        <w:rPr>
          <w:rFonts w:eastAsia="Times New Roman" w:cs="Times New Roman"/>
          <w:szCs w:val="28"/>
        </w:rPr>
        <w:t xml:space="preserve"> thần quá mức, ức chế hô hấp, hôn mê và tử vong. Những bệnh nhân điều trị phối hợp với các thuốc ức chế thần kinh trung ương (bao gồm các opioid) nên được quan sát cẩn thận để phát hiện kịp thời những dấu hiệu của sự ức chế thần kinh ương, như an thần, lơ mơ và ức chế hô hấp. </w:t>
      </w:r>
      <w:proofErr w:type="gramStart"/>
      <w:r w:rsidRPr="00F72783">
        <w:rPr>
          <w:rFonts w:eastAsia="Times New Roman" w:cs="Times New Roman"/>
          <w:szCs w:val="28"/>
        </w:rPr>
        <w:t>Giảm liều dùng và thời gian sử dụng thuốc tới mức tối thiểu đạt hiệu quả điều trị.</w:t>
      </w:r>
      <w:proofErr w:type="gramEnd"/>
    </w:p>
    <w:p w:rsidR="00F72783" w:rsidRDefault="00F72783" w:rsidP="00F72783">
      <w:pPr>
        <w:spacing w:after="0" w:line="240" w:lineRule="auto"/>
        <w:jc w:val="both"/>
        <w:rPr>
          <w:rFonts w:eastAsia="Times New Roman" w:cs="Times New Roman"/>
          <w:szCs w:val="28"/>
        </w:rPr>
      </w:pPr>
      <w:r w:rsidRPr="00F72783">
        <w:rPr>
          <w:rFonts w:eastAsia="Times New Roman" w:cs="Times New Roman"/>
          <w:szCs w:val="28"/>
        </w:rPr>
        <w:t xml:space="preserve">- Hội chứng </w:t>
      </w:r>
      <w:proofErr w:type="gramStart"/>
      <w:r w:rsidRPr="00F72783">
        <w:rPr>
          <w:rFonts w:eastAsia="Times New Roman" w:cs="Times New Roman"/>
          <w:szCs w:val="28"/>
        </w:rPr>
        <w:t>cai</w:t>
      </w:r>
      <w:proofErr w:type="gramEnd"/>
      <w:r w:rsidRPr="00F72783">
        <w:rPr>
          <w:rFonts w:eastAsia="Times New Roman" w:cs="Times New Roman"/>
          <w:szCs w:val="28"/>
        </w:rPr>
        <w:t xml:space="preserve"> nghiện sau khi dừng điều trị ngắn hạn và dài hạn đã được quan sát thấy ở một số bệnh nhân bao gồm: mất ngủ, đau đầu, tăng tiết mồ hôi và tiêu chảy. </w:t>
      </w:r>
      <w:proofErr w:type="gramStart"/>
      <w:r w:rsidRPr="00F72783">
        <w:rPr>
          <w:rFonts w:eastAsia="Times New Roman" w:cs="Times New Roman"/>
          <w:szCs w:val="28"/>
        </w:rPr>
        <w:t>Việc dừng thuốc nên được thực hiện từ từ trong ít nhất 1 tuần.</w:t>
      </w:r>
      <w:proofErr w:type="gramEnd"/>
    </w:p>
    <w:p w:rsidR="006D4D7D" w:rsidRDefault="006D4D7D" w:rsidP="00F72783">
      <w:pPr>
        <w:spacing w:after="0" w:line="240" w:lineRule="auto"/>
        <w:rPr>
          <w:rFonts w:eastAsia="Times New Roman" w:cs="Times New Roman"/>
          <w:szCs w:val="28"/>
        </w:rPr>
      </w:pPr>
    </w:p>
    <w:p w:rsidR="00E4402C" w:rsidRPr="00E4402C" w:rsidRDefault="00F72783" w:rsidP="00E4402C">
      <w:pPr>
        <w:pStyle w:val="ListParagraph"/>
        <w:numPr>
          <w:ilvl w:val="0"/>
          <w:numId w:val="13"/>
        </w:numPr>
        <w:spacing w:after="0" w:line="240" w:lineRule="auto"/>
        <w:rPr>
          <w:rFonts w:cs="Times New Roman"/>
          <w:b/>
          <w:szCs w:val="28"/>
          <w:highlight w:val="yellow"/>
        </w:rPr>
      </w:pPr>
      <w:r w:rsidRPr="00E4402C">
        <w:rPr>
          <w:rFonts w:cs="Times New Roman"/>
          <w:b/>
          <w:szCs w:val="28"/>
          <w:highlight w:val="yellow"/>
        </w:rPr>
        <w:t>Nguy cơ viêm da bọng nước và tróc da khi sử dụng pregabalin</w:t>
      </w:r>
    </w:p>
    <w:p w:rsidR="00F72783" w:rsidRPr="00E4402C" w:rsidRDefault="00F72783" w:rsidP="00E4402C">
      <w:pPr>
        <w:pStyle w:val="ListParagraph"/>
        <w:spacing w:after="0" w:line="240" w:lineRule="auto"/>
        <w:rPr>
          <w:rFonts w:cs="Times New Roman"/>
          <w:b/>
          <w:szCs w:val="28"/>
        </w:rPr>
      </w:pPr>
      <w:r w:rsidRPr="00E4402C">
        <w:rPr>
          <w:rFonts w:cs="Times New Roman"/>
          <w:b/>
          <w:szCs w:val="28"/>
        </w:rPr>
        <w:t xml:space="preserve"> </w:t>
      </w:r>
    </w:p>
    <w:p w:rsidR="00F72783" w:rsidRPr="00F72783" w:rsidRDefault="00F72783" w:rsidP="00F72783">
      <w:pPr>
        <w:pStyle w:val="NormalWeb"/>
        <w:spacing w:before="0" w:beforeAutospacing="0" w:after="0" w:afterAutospacing="0"/>
        <w:jc w:val="both"/>
        <w:rPr>
          <w:sz w:val="28"/>
          <w:szCs w:val="28"/>
        </w:rPr>
      </w:pPr>
      <w:proofErr w:type="gramStart"/>
      <w:r w:rsidRPr="00F72783">
        <w:rPr>
          <w:sz w:val="28"/>
          <w:szCs w:val="28"/>
        </w:rPr>
        <w:t>Medsafe nhấn mạnh nguy cơ viêm da bọng nước và tróc da khi sử dụng pregabalin.</w:t>
      </w:r>
      <w:proofErr w:type="gramEnd"/>
      <w:r w:rsidRPr="00F72783">
        <w:rPr>
          <w:sz w:val="28"/>
          <w:szCs w:val="28"/>
        </w:rPr>
        <w:t xml:space="preserve"> Nguy cơ tiềm ẩn này được quan tâm sau khi Trung tâm Giám sát các phản ứng có hại (CARM) nhận được báo cáo mô tả một phụ nữ 87 tuổi bị phát ban phồng rộp lan rộng khoảng 4 ngày sau khi bắt đầu dùng pregabalin.</w:t>
      </w:r>
    </w:p>
    <w:p w:rsidR="00F72783" w:rsidRPr="00F72783" w:rsidRDefault="00F72783" w:rsidP="00F72783">
      <w:pPr>
        <w:pStyle w:val="NormalWeb"/>
        <w:spacing w:before="0" w:beforeAutospacing="0" w:after="0" w:afterAutospacing="0"/>
        <w:jc w:val="both"/>
        <w:rPr>
          <w:sz w:val="28"/>
          <w:szCs w:val="28"/>
        </w:rPr>
      </w:pPr>
      <w:r w:rsidRPr="00F72783">
        <w:rPr>
          <w:sz w:val="28"/>
          <w:szCs w:val="28"/>
        </w:rPr>
        <w:t> </w:t>
      </w:r>
      <w:r w:rsidRPr="00F72783">
        <w:rPr>
          <w:rStyle w:val="Strong"/>
          <w:sz w:val="28"/>
          <w:szCs w:val="28"/>
        </w:rPr>
        <w:t xml:space="preserve">Sản phẩm liên quan: </w:t>
      </w:r>
      <w:r w:rsidRPr="00F72783">
        <w:rPr>
          <w:sz w:val="28"/>
          <w:szCs w:val="28"/>
        </w:rPr>
        <w:t xml:space="preserve">Viên nang Pregabalin Pfizer (Công ty TNHH Bán lẻ Dược phẩm (NZ) t/a Healthcare Logistics). </w:t>
      </w:r>
      <w:proofErr w:type="gramStart"/>
      <w:r w:rsidRPr="00F72783">
        <w:rPr>
          <w:sz w:val="28"/>
          <w:szCs w:val="28"/>
        </w:rPr>
        <w:t>Pregabalin được sử dụng để điều trị đau thần kinh ở người lớn cũng như liệu pháp bổ trợ cho người lớn bị co giật cục bộ có hoặc không có toàn thể hóa thứ phát.</w:t>
      </w:r>
      <w:proofErr w:type="gramEnd"/>
    </w:p>
    <w:p w:rsidR="00F72783" w:rsidRPr="00F72783" w:rsidRDefault="00F72783" w:rsidP="00F72783">
      <w:pPr>
        <w:pStyle w:val="NormalWeb"/>
        <w:spacing w:before="0" w:beforeAutospacing="0" w:after="0" w:afterAutospacing="0"/>
        <w:jc w:val="both"/>
        <w:rPr>
          <w:sz w:val="28"/>
          <w:szCs w:val="28"/>
        </w:rPr>
      </w:pPr>
      <w:r w:rsidRPr="00F72783">
        <w:rPr>
          <w:sz w:val="28"/>
          <w:szCs w:val="28"/>
        </w:rPr>
        <w:t> </w:t>
      </w:r>
      <w:r w:rsidRPr="00F72783">
        <w:rPr>
          <w:rStyle w:val="Strong"/>
          <w:sz w:val="28"/>
          <w:szCs w:val="28"/>
        </w:rPr>
        <w:t>Thông tin bổ sung:</w:t>
      </w:r>
    </w:p>
    <w:p w:rsidR="00F72783" w:rsidRPr="00F72783" w:rsidRDefault="00F72783" w:rsidP="00F72783">
      <w:pPr>
        <w:pStyle w:val="NormalWeb"/>
        <w:spacing w:before="0" w:beforeAutospacing="0" w:after="0" w:afterAutospacing="0"/>
        <w:jc w:val="both"/>
        <w:rPr>
          <w:sz w:val="28"/>
          <w:szCs w:val="28"/>
        </w:rPr>
      </w:pPr>
      <w:r w:rsidRPr="00F72783">
        <w:rPr>
          <w:sz w:val="28"/>
          <w:szCs w:val="28"/>
        </w:rPr>
        <w:t xml:space="preserve">Viêm da bọng nước là một thuật ngữ </w:t>
      </w:r>
      <w:proofErr w:type="gramStart"/>
      <w:r w:rsidRPr="00F72783">
        <w:rPr>
          <w:sz w:val="28"/>
          <w:szCs w:val="28"/>
        </w:rPr>
        <w:t>chung</w:t>
      </w:r>
      <w:proofErr w:type="gramEnd"/>
      <w:r w:rsidRPr="00F72783">
        <w:rPr>
          <w:sz w:val="28"/>
          <w:szCs w:val="28"/>
        </w:rPr>
        <w:t xml:space="preserve"> để chỉ một số tình trạng da phồng rộp. </w:t>
      </w:r>
      <w:proofErr w:type="gramStart"/>
      <w:r w:rsidRPr="00F72783">
        <w:rPr>
          <w:sz w:val="28"/>
          <w:szCs w:val="28"/>
        </w:rPr>
        <w:t>Giống như viêm da bọng nước, tróc da có thể là một đặc điểm của các phản ứng có hại nghiêm trọng trên da.</w:t>
      </w:r>
      <w:proofErr w:type="gramEnd"/>
    </w:p>
    <w:p w:rsidR="00915A57" w:rsidRDefault="00F72783" w:rsidP="00915A57">
      <w:pPr>
        <w:pStyle w:val="NormalWeb"/>
        <w:spacing w:before="0" w:beforeAutospacing="0" w:after="0" w:afterAutospacing="0"/>
        <w:jc w:val="both"/>
        <w:rPr>
          <w:sz w:val="28"/>
          <w:szCs w:val="28"/>
        </w:rPr>
      </w:pPr>
      <w:r w:rsidRPr="00F72783">
        <w:rPr>
          <w:sz w:val="28"/>
          <w:szCs w:val="28"/>
        </w:rPr>
        <w:t>CARM đã nhận được 4 báo cáo về phản ứng có hại trên da khi dùng pregabalin, trong đó 2 báo cáo có phản ứng nổi mẩn đỏ và 2 báo cáo có phản ứng tróc da.</w:t>
      </w:r>
      <w:r w:rsidR="00915A57">
        <w:rPr>
          <w:sz w:val="28"/>
          <w:szCs w:val="28"/>
        </w:rPr>
        <w:tab/>
      </w:r>
      <w:r w:rsidR="00915A57">
        <w:rPr>
          <w:sz w:val="28"/>
          <w:szCs w:val="28"/>
        </w:rPr>
        <w:tab/>
      </w:r>
    </w:p>
    <w:p w:rsidR="00915A57" w:rsidRPr="00915A57" w:rsidRDefault="00915A57" w:rsidP="00915A57">
      <w:pPr>
        <w:pStyle w:val="NormalWeb"/>
        <w:spacing w:before="0" w:beforeAutospacing="0" w:after="0" w:afterAutospacing="0"/>
        <w:ind w:firstLine="720"/>
        <w:jc w:val="both"/>
        <w:rPr>
          <w:sz w:val="28"/>
          <w:szCs w:val="28"/>
        </w:rPr>
      </w:pPr>
      <w:r w:rsidRPr="00915A57">
        <w:rPr>
          <w:b/>
          <w:sz w:val="28"/>
          <w:szCs w:val="28"/>
        </w:rPr>
        <w:lastRenderedPageBreak/>
        <w:t>4</w:t>
      </w:r>
      <w:r>
        <w:rPr>
          <w:sz w:val="28"/>
          <w:szCs w:val="28"/>
        </w:rPr>
        <w:t xml:space="preserve">. </w:t>
      </w:r>
      <w:r w:rsidRPr="00E4402C">
        <w:rPr>
          <w:b/>
          <w:sz w:val="28"/>
          <w:szCs w:val="28"/>
          <w:highlight w:val="yellow"/>
        </w:rPr>
        <w:t>Pregabalin (biệt dược Lyrica): báo cáo về tình trạng ức chế hô hấp nghiêm trọng</w:t>
      </w:r>
      <w:bookmarkStart w:id="0" w:name="_GoBack"/>
      <w:bookmarkEnd w:id="0"/>
      <w:r w:rsidRPr="00915A57">
        <w:rPr>
          <w:bCs/>
          <w:sz w:val="28"/>
          <w:szCs w:val="28"/>
        </w:rPr>
        <w:t xml:space="preserve"> </w:t>
      </w:r>
    </w:p>
    <w:p w:rsidR="00915A57" w:rsidRPr="00915A57" w:rsidRDefault="00915A57" w:rsidP="00915A57">
      <w:pPr>
        <w:pStyle w:val="NormalWeb"/>
        <w:spacing w:before="0" w:beforeAutospacing="0" w:after="0" w:afterAutospacing="0"/>
        <w:ind w:left="720"/>
        <w:jc w:val="both"/>
        <w:rPr>
          <w:bCs/>
          <w:sz w:val="28"/>
          <w:szCs w:val="28"/>
        </w:rPr>
      </w:pPr>
    </w:p>
    <w:p w:rsidR="00915A57" w:rsidRPr="00915A57" w:rsidRDefault="00915A57" w:rsidP="00915A57">
      <w:pPr>
        <w:pStyle w:val="NormalWeb"/>
        <w:spacing w:before="0" w:beforeAutospacing="0" w:after="0" w:afterAutospacing="0"/>
        <w:jc w:val="both"/>
        <w:rPr>
          <w:sz w:val="28"/>
          <w:szCs w:val="28"/>
        </w:rPr>
      </w:pPr>
      <w:proofErr w:type="gramStart"/>
      <w:r w:rsidRPr="00915A57">
        <w:rPr>
          <w:bCs/>
          <w:sz w:val="28"/>
          <w:szCs w:val="28"/>
        </w:rPr>
        <w:t>Pregabalin có liên quan đến một số báo cáo về tình trạng ức chế hô hấp nghiêm trọng, bao gồm cả một số trường hợp không sử dụng phối hợp với opioid.</w:t>
      </w:r>
      <w:proofErr w:type="gramEnd"/>
      <w:r w:rsidRPr="00915A57">
        <w:rPr>
          <w:bCs/>
          <w:sz w:val="28"/>
          <w:szCs w:val="28"/>
        </w:rPr>
        <w:t xml:space="preserve"> Bệnh nhân có chức năng hô hấp suy giảm, bệnh hô hấp hoặc thần kinh, suy giảm chức năng thận; bệnh nhân sử dụng thuốc phối hợp với thuốc ức chế thần kinh trung ương khác; và bệnh nhân trên 65 tuổi có thể có nguy cơ cao hơn gặp phải tình trạng trên, do đó có thể phải hiệu chỉnh liều. </w:t>
      </w:r>
    </w:p>
    <w:p w:rsidR="00915A57" w:rsidRPr="00915A57" w:rsidRDefault="00915A57" w:rsidP="00915A57">
      <w:pPr>
        <w:pStyle w:val="NormalWeb"/>
        <w:spacing w:before="0" w:beforeAutospacing="0" w:after="0" w:afterAutospacing="0"/>
        <w:jc w:val="both"/>
        <w:rPr>
          <w:sz w:val="28"/>
          <w:szCs w:val="28"/>
        </w:rPr>
      </w:pPr>
      <w:r w:rsidRPr="00915A57">
        <w:rPr>
          <w:sz w:val="28"/>
          <w:szCs w:val="28"/>
        </w:rPr>
        <w:t>Pregabalin được chỉ định để điều trị đau thần kinh ngoại vi và thần kinh trung tâm ở người trưởng thành, điều trị hỗ trợ ở người trưởng thành bị động kinh khu trú có hoặc không đi kèm với cơn co giật toàn thân thứ cấp, và cho rối loạn lo âu lan tỏa ở người trưởng thành.</w:t>
      </w:r>
    </w:p>
    <w:p w:rsidR="00915A57" w:rsidRPr="00915A57" w:rsidRDefault="00915A57" w:rsidP="00915A57">
      <w:pPr>
        <w:pStyle w:val="NormalWeb"/>
        <w:spacing w:before="0" w:beforeAutospacing="0" w:after="0" w:afterAutospacing="0"/>
        <w:jc w:val="both"/>
        <w:rPr>
          <w:sz w:val="28"/>
          <w:szCs w:val="28"/>
        </w:rPr>
      </w:pPr>
      <w:proofErr w:type="gramStart"/>
      <w:r w:rsidRPr="00915A57">
        <w:rPr>
          <w:sz w:val="28"/>
          <w:szCs w:val="28"/>
        </w:rPr>
        <w:t>Việc phối hợp pregabalin với các opioid hoặc các thuốc ức chế thần kinh trung ương khác đã được chứng minh là có liên quan đến các báo cáo về suy hô hấp, hôn mê và tử vong.</w:t>
      </w:r>
      <w:proofErr w:type="gramEnd"/>
      <w:r w:rsidRPr="00915A57">
        <w:rPr>
          <w:sz w:val="28"/>
          <w:szCs w:val="28"/>
        </w:rPr>
        <w:t xml:space="preserve"> Một số nghiên cứu chỉ ra rằng việc sử dụng pregabalin liều cao (trên 300mg/ngày) phối hợp với opioid có mối liên hệ rõ ràng với sự tăng nguy cơ tử vong liên quan tới opioid.</w:t>
      </w:r>
    </w:p>
    <w:p w:rsidR="00915A57" w:rsidRPr="00915A57" w:rsidRDefault="00915A57" w:rsidP="00915A57">
      <w:pPr>
        <w:pStyle w:val="NormalWeb"/>
        <w:spacing w:before="0" w:beforeAutospacing="0" w:after="0" w:afterAutospacing="0"/>
        <w:jc w:val="both"/>
        <w:rPr>
          <w:sz w:val="28"/>
          <w:szCs w:val="28"/>
        </w:rPr>
      </w:pPr>
      <w:r w:rsidRPr="00915A57">
        <w:rPr>
          <w:sz w:val="28"/>
          <w:szCs w:val="28"/>
        </w:rPr>
        <w:t>Một báo cáo đánh giá an toàn gần đây của châu Âu đã thẩm định các báo cáo về trường hợp ức chế hô hấp nghiêm trọng được cho là chỉ do tác dụng của pregabalin trên thần kinh trung ương. Với dữ liệu hiện có về nguy cơ trên, bao gồm cả các báo cáo đơn lẻ, và cơ chế tác dụng trên lý thuyết, thông tin sản phẩm cho các thuốc hiện có ở Anh sẽ được bổ sung thêm cảnh báo ức chế hô hấp.</w:t>
      </w:r>
    </w:p>
    <w:p w:rsidR="00915A57" w:rsidRPr="00915A57" w:rsidRDefault="00915A57" w:rsidP="00915A57">
      <w:pPr>
        <w:pStyle w:val="NormalWeb"/>
        <w:spacing w:before="0" w:beforeAutospacing="0" w:after="0" w:afterAutospacing="0"/>
        <w:jc w:val="both"/>
        <w:rPr>
          <w:sz w:val="28"/>
          <w:szCs w:val="28"/>
        </w:rPr>
      </w:pPr>
      <w:proofErr w:type="gramStart"/>
      <w:r w:rsidRPr="00915A57">
        <w:rPr>
          <w:sz w:val="28"/>
          <w:szCs w:val="28"/>
        </w:rPr>
        <w:t>Báo cáo đánh giá đã xác định một số ít trường hợp ức chế hô hấp mà không có nguyên nhân nào khác và không có tiền sử bệnh lý nền trên toàn cầu.</w:t>
      </w:r>
      <w:proofErr w:type="gramEnd"/>
      <w:r w:rsidRPr="00915A57">
        <w:rPr>
          <w:sz w:val="28"/>
          <w:szCs w:val="28"/>
        </w:rPr>
        <w:t xml:space="preserve"> </w:t>
      </w:r>
      <w:proofErr w:type="gramStart"/>
      <w:r w:rsidRPr="00915A57">
        <w:rPr>
          <w:sz w:val="28"/>
          <w:szCs w:val="28"/>
        </w:rPr>
        <w:t>Trong các trường hợp này, việc ức chế hô hấp có mối quan hệ thời gian với việc bắt đầu sử dụng hoặc tăng liều pregabalin.</w:t>
      </w:r>
      <w:proofErr w:type="gramEnd"/>
      <w:r w:rsidRPr="00915A57">
        <w:rPr>
          <w:sz w:val="28"/>
          <w:szCs w:val="28"/>
        </w:rPr>
        <w:t xml:space="preserve"> </w:t>
      </w:r>
      <w:proofErr w:type="gramStart"/>
      <w:r w:rsidRPr="00915A57">
        <w:rPr>
          <w:sz w:val="28"/>
          <w:szCs w:val="28"/>
        </w:rPr>
        <w:t>Các trường hợp khác được ghi nhận trên bệnh nhân có yếu tố nguy cơ hoặc tiền sử bệnh lý nền.</w:t>
      </w:r>
      <w:proofErr w:type="gramEnd"/>
      <w:r w:rsidRPr="00915A57">
        <w:rPr>
          <w:sz w:val="28"/>
          <w:szCs w:val="28"/>
        </w:rPr>
        <w:t xml:space="preserve"> </w:t>
      </w:r>
      <w:proofErr w:type="gramStart"/>
      <w:r w:rsidRPr="00915A57">
        <w:rPr>
          <w:sz w:val="28"/>
          <w:szCs w:val="28"/>
        </w:rPr>
        <w:t>Đa số các trường hợp được thẩm định là trên bệnh nhân cao tuổi.</w:t>
      </w:r>
      <w:proofErr w:type="gramEnd"/>
    </w:p>
    <w:p w:rsidR="001C51AF" w:rsidRPr="00915A57" w:rsidRDefault="00915A57" w:rsidP="00915A57">
      <w:pPr>
        <w:pStyle w:val="NormalWeb"/>
        <w:spacing w:before="0" w:beforeAutospacing="0" w:after="0" w:afterAutospacing="0"/>
        <w:jc w:val="both"/>
        <w:rPr>
          <w:sz w:val="28"/>
          <w:szCs w:val="28"/>
        </w:rPr>
      </w:pPr>
      <w:proofErr w:type="gramStart"/>
      <w:r w:rsidRPr="00915A57">
        <w:rPr>
          <w:sz w:val="28"/>
          <w:szCs w:val="28"/>
        </w:rPr>
        <w:t>Cảnh báo tương tự đã được đưa ra đối với gabapentin (biệt dược Neurotonin).</w:t>
      </w:r>
      <w:proofErr w:type="gramEnd"/>
    </w:p>
    <w:p w:rsidR="001C51AF" w:rsidRDefault="001C51AF" w:rsidP="00021827">
      <w:pPr>
        <w:spacing w:after="0" w:line="240" w:lineRule="auto"/>
        <w:jc w:val="both"/>
        <w:rPr>
          <w:rFonts w:eastAsia="Times New Roman" w:cs="Times New Roman"/>
          <w:i/>
          <w:sz w:val="22"/>
        </w:rPr>
      </w:pPr>
    </w:p>
    <w:p w:rsidR="00C466BB" w:rsidRDefault="0045414D" w:rsidP="00C466BB">
      <w:pPr>
        <w:spacing w:after="0" w:line="240" w:lineRule="auto"/>
        <w:jc w:val="both"/>
        <w:rPr>
          <w:rFonts w:eastAsia="Times New Roman" w:cs="Times New Roman"/>
          <w:i/>
          <w:sz w:val="22"/>
        </w:rPr>
      </w:pPr>
      <w:r w:rsidRPr="00C45CA7">
        <w:rPr>
          <w:rFonts w:eastAsia="Times New Roman" w:cs="Times New Roman"/>
          <w:i/>
          <w:sz w:val="22"/>
        </w:rPr>
        <w:t xml:space="preserve">Nguồn: </w:t>
      </w:r>
    </w:p>
    <w:p w:rsidR="00915A57" w:rsidRPr="00915A57" w:rsidRDefault="0045414D" w:rsidP="00915A57">
      <w:pPr>
        <w:spacing w:after="0" w:line="240" w:lineRule="auto"/>
        <w:rPr>
          <w:sz w:val="22"/>
        </w:rPr>
      </w:pPr>
      <w:r w:rsidRPr="00915A57">
        <w:rPr>
          <w:rFonts w:eastAsia="Times New Roman" w:cs="Times New Roman"/>
          <w:i/>
          <w:sz w:val="22"/>
        </w:rPr>
        <w:t xml:space="preserve">Cảnh giác </w:t>
      </w:r>
      <w:proofErr w:type="gramStart"/>
      <w:r w:rsidRPr="00915A57">
        <w:rPr>
          <w:rFonts w:eastAsia="Times New Roman" w:cs="Times New Roman"/>
          <w:i/>
          <w:sz w:val="22"/>
        </w:rPr>
        <w:t>Dược</w:t>
      </w:r>
      <w:r w:rsidR="00C466BB" w:rsidRPr="00915A57">
        <w:rPr>
          <w:rFonts w:eastAsia="Times New Roman" w:cs="Times New Roman"/>
          <w:sz w:val="22"/>
        </w:rPr>
        <w:t xml:space="preserve"> </w:t>
      </w:r>
      <w:r w:rsidR="00915A57">
        <w:rPr>
          <w:rFonts w:eastAsia="Times New Roman" w:cs="Times New Roman"/>
          <w:sz w:val="22"/>
        </w:rPr>
        <w:t xml:space="preserve"> </w:t>
      </w:r>
      <w:proofErr w:type="gramEnd"/>
      <w:hyperlink r:id="rId8" w:history="1">
        <w:r w:rsidR="00C466BB" w:rsidRPr="00915A57">
          <w:rPr>
            <w:rStyle w:val="Hyperlink"/>
            <w:sz w:val="22"/>
          </w:rPr>
          <w:t>https://www.medsafe.govt.nz/profs/PUArticles/June2021/Colchicine-painful-insights-recent-poisoning-data-New-Zealand.htm</w:t>
        </w:r>
      </w:hyperlink>
    </w:p>
    <w:p w:rsidR="00F72783" w:rsidRPr="00915A57" w:rsidRDefault="00915A57" w:rsidP="00915A57">
      <w:pPr>
        <w:spacing w:after="0" w:line="240" w:lineRule="auto"/>
        <w:ind w:left="720" w:firstLine="720"/>
        <w:rPr>
          <w:sz w:val="22"/>
        </w:rPr>
      </w:pPr>
      <w:r>
        <w:rPr>
          <w:sz w:val="22"/>
        </w:rPr>
        <w:t xml:space="preserve">   </w:t>
      </w:r>
      <w:hyperlink r:id="rId9" w:history="1">
        <w:r w:rsidR="00F72783" w:rsidRPr="00915A57">
          <w:rPr>
            <w:rStyle w:val="Hyperlink"/>
            <w:sz w:val="22"/>
          </w:rPr>
          <w:t>https://www.medsafe.govt.nz/safety/Alerts/PregabalinAndDermatitis.asp</w:t>
        </w:r>
      </w:hyperlink>
    </w:p>
    <w:p w:rsidR="00C466BB" w:rsidRPr="00915A57" w:rsidRDefault="00915A57" w:rsidP="00915A57">
      <w:pPr>
        <w:spacing w:after="0" w:line="240" w:lineRule="auto"/>
        <w:rPr>
          <w:sz w:val="22"/>
        </w:rPr>
      </w:pPr>
      <w:r>
        <w:rPr>
          <w:sz w:val="22"/>
        </w:rPr>
        <w:t xml:space="preserve">                             </w:t>
      </w:r>
      <w:hyperlink r:id="rId10" w:history="1">
        <w:r w:rsidR="00F72783" w:rsidRPr="00915A57">
          <w:rPr>
            <w:rStyle w:val="Hyperlink"/>
            <w:sz w:val="22"/>
          </w:rPr>
          <w:t>https://www.tga.gov.au/alert/pregabalin-and-gabapentin</w:t>
        </w:r>
      </w:hyperlink>
    </w:p>
    <w:p w:rsidR="00915A57" w:rsidRPr="00915A57" w:rsidRDefault="00915A57" w:rsidP="00915A57">
      <w:pPr>
        <w:spacing w:after="0" w:line="240" w:lineRule="auto"/>
        <w:rPr>
          <w:sz w:val="22"/>
        </w:rPr>
      </w:pPr>
      <w:r>
        <w:rPr>
          <w:sz w:val="22"/>
        </w:rPr>
        <w:t xml:space="preserve">                             </w:t>
      </w:r>
      <w:r w:rsidRPr="00915A57">
        <w:rPr>
          <w:sz w:val="22"/>
        </w:rPr>
        <w:t>ttps://www.gov.uk/drug-safety-update/pregabalin-lyrica-reports-of-severe-respiratory-depression</w:t>
      </w:r>
    </w:p>
    <w:p w:rsidR="00F96B1B" w:rsidRPr="00C466BB" w:rsidRDefault="004669AD" w:rsidP="00C466BB">
      <w:pPr>
        <w:spacing w:after="0" w:line="240" w:lineRule="auto"/>
        <w:jc w:val="both"/>
        <w:rPr>
          <w:rFonts w:eastAsia="Times New Roman" w:cs="Times New Roman"/>
          <w:sz w:val="24"/>
          <w:szCs w:val="24"/>
        </w:rPr>
      </w:pPr>
      <w:r>
        <w:tab/>
        <w:t xml:space="preserve">   </w:t>
      </w:r>
      <w:r w:rsidR="00915A57">
        <w:tab/>
      </w:r>
      <w:r w:rsidR="00915A57">
        <w:tab/>
      </w:r>
      <w:r w:rsidR="00915A57">
        <w:tab/>
      </w:r>
      <w:r w:rsidR="00915A57">
        <w:tab/>
      </w:r>
      <w:r w:rsidR="00915A57">
        <w:tab/>
      </w:r>
      <w:r w:rsidR="00915A57">
        <w:tab/>
      </w:r>
      <w:r w:rsidRPr="004669AD">
        <w:rPr>
          <w:b/>
        </w:rPr>
        <w:t>TỔ THÔNG TIN THUỐC</w:t>
      </w:r>
    </w:p>
    <w:p w:rsidR="00F96B1B" w:rsidRDefault="00F96B1B" w:rsidP="003F2375">
      <w:pPr>
        <w:ind w:left="4320"/>
        <w:jc w:val="both"/>
      </w:pPr>
    </w:p>
    <w:p w:rsidR="002E04B5" w:rsidRDefault="00A854A9" w:rsidP="009F4750">
      <w:pPr>
        <w:ind w:left="5040" w:firstLine="720"/>
        <w:jc w:val="both"/>
      </w:pPr>
      <w:r>
        <w:t xml:space="preserve"> </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p>
    <w:sectPr w:rsidR="002E04B5" w:rsidSect="00FD33C5">
      <w:footerReference w:type="default" r:id="rId11"/>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616" w:rsidRDefault="002E6616" w:rsidP="006511A5">
      <w:pPr>
        <w:spacing w:after="0" w:line="240" w:lineRule="auto"/>
      </w:pPr>
      <w:r>
        <w:separator/>
      </w:r>
    </w:p>
  </w:endnote>
  <w:endnote w:type="continuationSeparator" w:id="0">
    <w:p w:rsidR="002E6616" w:rsidRDefault="002E6616"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6511A5" w:rsidRDefault="006511A5">
        <w:pPr>
          <w:pStyle w:val="Footer"/>
          <w:jc w:val="center"/>
        </w:pPr>
        <w:r>
          <w:fldChar w:fldCharType="begin"/>
        </w:r>
        <w:r>
          <w:instrText xml:space="preserve"> PAGE   \* MERGEFORMAT </w:instrText>
        </w:r>
        <w:r>
          <w:fldChar w:fldCharType="separate"/>
        </w:r>
        <w:r w:rsidR="00E4402C">
          <w:rPr>
            <w:noProof/>
          </w:rPr>
          <w:t>5</w:t>
        </w:r>
        <w:r>
          <w:rPr>
            <w:noProof/>
          </w:rPr>
          <w:fldChar w:fldCharType="end"/>
        </w:r>
      </w:p>
    </w:sdtContent>
  </w:sdt>
  <w:p w:rsidR="006511A5" w:rsidRDefault="00651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616" w:rsidRDefault="002E6616" w:rsidP="006511A5">
      <w:pPr>
        <w:spacing w:after="0" w:line="240" w:lineRule="auto"/>
      </w:pPr>
      <w:r>
        <w:separator/>
      </w:r>
    </w:p>
  </w:footnote>
  <w:footnote w:type="continuationSeparator" w:id="0">
    <w:p w:rsidR="002E6616" w:rsidRDefault="002E6616"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C579F"/>
    <w:multiLevelType w:val="hybridMultilevel"/>
    <w:tmpl w:val="5824B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C5A5F9F"/>
    <w:multiLevelType w:val="hybridMultilevel"/>
    <w:tmpl w:val="9F086162"/>
    <w:lvl w:ilvl="0" w:tplc="4E70AC8A">
      <w:start w:val="4"/>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005F51"/>
    <w:multiLevelType w:val="hybridMultilevel"/>
    <w:tmpl w:val="C6041A46"/>
    <w:lvl w:ilvl="0" w:tplc="44FCD91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7"/>
  </w:num>
  <w:num w:numId="5">
    <w:abstractNumId w:val="12"/>
  </w:num>
  <w:num w:numId="6">
    <w:abstractNumId w:val="13"/>
  </w:num>
  <w:num w:numId="7">
    <w:abstractNumId w:val="5"/>
  </w:num>
  <w:num w:numId="8">
    <w:abstractNumId w:val="9"/>
  </w:num>
  <w:num w:numId="9">
    <w:abstractNumId w:val="4"/>
  </w:num>
  <w:num w:numId="10">
    <w:abstractNumId w:val="2"/>
  </w:num>
  <w:num w:numId="11">
    <w:abstractNumId w:val="3"/>
  </w:num>
  <w:num w:numId="12">
    <w:abstractNumId w:val="10"/>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6835"/>
    <w:rsid w:val="000069FA"/>
    <w:rsid w:val="00021827"/>
    <w:rsid w:val="000462D0"/>
    <w:rsid w:val="00056FE1"/>
    <w:rsid w:val="0008656E"/>
    <w:rsid w:val="00112AFA"/>
    <w:rsid w:val="001866B3"/>
    <w:rsid w:val="001919E4"/>
    <w:rsid w:val="001B5A9F"/>
    <w:rsid w:val="001C51AF"/>
    <w:rsid w:val="001D76EA"/>
    <w:rsid w:val="001E12CB"/>
    <w:rsid w:val="001E27E5"/>
    <w:rsid w:val="001E4B43"/>
    <w:rsid w:val="0022213F"/>
    <w:rsid w:val="00236062"/>
    <w:rsid w:val="0026081A"/>
    <w:rsid w:val="002A47FA"/>
    <w:rsid w:val="002C05D5"/>
    <w:rsid w:val="002C3E9C"/>
    <w:rsid w:val="002E04B5"/>
    <w:rsid w:val="002E6616"/>
    <w:rsid w:val="003071DA"/>
    <w:rsid w:val="00314D86"/>
    <w:rsid w:val="00362BF5"/>
    <w:rsid w:val="00370C88"/>
    <w:rsid w:val="00373B0B"/>
    <w:rsid w:val="003A150B"/>
    <w:rsid w:val="003A3F2B"/>
    <w:rsid w:val="003C1394"/>
    <w:rsid w:val="003F2375"/>
    <w:rsid w:val="00410FA1"/>
    <w:rsid w:val="0045414D"/>
    <w:rsid w:val="00463CE8"/>
    <w:rsid w:val="004669AD"/>
    <w:rsid w:val="004B36CA"/>
    <w:rsid w:val="004D7995"/>
    <w:rsid w:val="004F7696"/>
    <w:rsid w:val="00506236"/>
    <w:rsid w:val="00512D55"/>
    <w:rsid w:val="005264E3"/>
    <w:rsid w:val="00532DB0"/>
    <w:rsid w:val="0053743B"/>
    <w:rsid w:val="00565F4C"/>
    <w:rsid w:val="00576835"/>
    <w:rsid w:val="00595AAF"/>
    <w:rsid w:val="005A787A"/>
    <w:rsid w:val="005B031B"/>
    <w:rsid w:val="005B110A"/>
    <w:rsid w:val="005E7E90"/>
    <w:rsid w:val="005F7261"/>
    <w:rsid w:val="005F74B0"/>
    <w:rsid w:val="0060425F"/>
    <w:rsid w:val="00624B07"/>
    <w:rsid w:val="006511A5"/>
    <w:rsid w:val="006B34C0"/>
    <w:rsid w:val="006D4D7D"/>
    <w:rsid w:val="00712F5E"/>
    <w:rsid w:val="0073154B"/>
    <w:rsid w:val="00753CCF"/>
    <w:rsid w:val="007570BC"/>
    <w:rsid w:val="00780B56"/>
    <w:rsid w:val="007A1C65"/>
    <w:rsid w:val="007E7517"/>
    <w:rsid w:val="008204E4"/>
    <w:rsid w:val="008638AE"/>
    <w:rsid w:val="008901A4"/>
    <w:rsid w:val="008E0A7F"/>
    <w:rsid w:val="008E49B3"/>
    <w:rsid w:val="00915A57"/>
    <w:rsid w:val="00923156"/>
    <w:rsid w:val="00956549"/>
    <w:rsid w:val="00966DE6"/>
    <w:rsid w:val="0098634B"/>
    <w:rsid w:val="009A5D28"/>
    <w:rsid w:val="009B0BA7"/>
    <w:rsid w:val="009C60A6"/>
    <w:rsid w:val="009F4750"/>
    <w:rsid w:val="009F7F5B"/>
    <w:rsid w:val="00A020B0"/>
    <w:rsid w:val="00A45A7D"/>
    <w:rsid w:val="00A854A9"/>
    <w:rsid w:val="00A9110C"/>
    <w:rsid w:val="00AA2B66"/>
    <w:rsid w:val="00AB63E8"/>
    <w:rsid w:val="00AE098A"/>
    <w:rsid w:val="00AE5A26"/>
    <w:rsid w:val="00BA315B"/>
    <w:rsid w:val="00BD41A7"/>
    <w:rsid w:val="00C01CE0"/>
    <w:rsid w:val="00C1075B"/>
    <w:rsid w:val="00C24AFC"/>
    <w:rsid w:val="00C272B8"/>
    <w:rsid w:val="00C27A80"/>
    <w:rsid w:val="00C45CA7"/>
    <w:rsid w:val="00C466BB"/>
    <w:rsid w:val="00C46A2B"/>
    <w:rsid w:val="00C521CA"/>
    <w:rsid w:val="00C52559"/>
    <w:rsid w:val="00C84310"/>
    <w:rsid w:val="00CA5332"/>
    <w:rsid w:val="00CE15A1"/>
    <w:rsid w:val="00D038E6"/>
    <w:rsid w:val="00D11A00"/>
    <w:rsid w:val="00D76BE6"/>
    <w:rsid w:val="00D95746"/>
    <w:rsid w:val="00DB19EF"/>
    <w:rsid w:val="00DD36C1"/>
    <w:rsid w:val="00DD733B"/>
    <w:rsid w:val="00DF4F61"/>
    <w:rsid w:val="00E32C92"/>
    <w:rsid w:val="00E4402C"/>
    <w:rsid w:val="00EC1682"/>
    <w:rsid w:val="00ED0EEE"/>
    <w:rsid w:val="00F152B4"/>
    <w:rsid w:val="00F168F1"/>
    <w:rsid w:val="00F17C57"/>
    <w:rsid w:val="00F25424"/>
    <w:rsid w:val="00F2712A"/>
    <w:rsid w:val="00F65C51"/>
    <w:rsid w:val="00F72783"/>
    <w:rsid w:val="00F847F7"/>
    <w:rsid w:val="00F96B1B"/>
    <w:rsid w:val="00FB7921"/>
    <w:rsid w:val="00FD08B1"/>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56E"/>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7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974792578">
      <w:bodyDiv w:val="1"/>
      <w:marLeft w:val="0"/>
      <w:marRight w:val="0"/>
      <w:marTop w:val="0"/>
      <w:marBottom w:val="0"/>
      <w:divBdr>
        <w:top w:val="none" w:sz="0" w:space="0" w:color="auto"/>
        <w:left w:val="none" w:sz="0" w:space="0" w:color="auto"/>
        <w:bottom w:val="none" w:sz="0" w:space="0" w:color="auto"/>
        <w:right w:val="none" w:sz="0" w:space="0" w:color="auto"/>
      </w:divBdr>
      <w:divsChild>
        <w:div w:id="1550216970">
          <w:marLeft w:val="0"/>
          <w:marRight w:val="0"/>
          <w:marTop w:val="0"/>
          <w:marBottom w:val="0"/>
          <w:divBdr>
            <w:top w:val="none" w:sz="0" w:space="0" w:color="auto"/>
            <w:left w:val="none" w:sz="0" w:space="0" w:color="auto"/>
            <w:bottom w:val="none" w:sz="0" w:space="0" w:color="auto"/>
            <w:right w:val="none" w:sz="0" w:space="0" w:color="auto"/>
          </w:divBdr>
        </w:div>
        <w:div w:id="1766537197">
          <w:marLeft w:val="0"/>
          <w:marRight w:val="0"/>
          <w:marTop w:val="0"/>
          <w:marBottom w:val="0"/>
          <w:divBdr>
            <w:top w:val="none" w:sz="0" w:space="0" w:color="auto"/>
            <w:left w:val="none" w:sz="0" w:space="0" w:color="auto"/>
            <w:bottom w:val="none" w:sz="0" w:space="0" w:color="auto"/>
            <w:right w:val="none" w:sz="0" w:space="0" w:color="auto"/>
          </w:divBdr>
        </w:div>
        <w:div w:id="434906900">
          <w:marLeft w:val="0"/>
          <w:marRight w:val="0"/>
          <w:marTop w:val="0"/>
          <w:marBottom w:val="0"/>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230580291">
      <w:bodyDiv w:val="1"/>
      <w:marLeft w:val="0"/>
      <w:marRight w:val="0"/>
      <w:marTop w:val="0"/>
      <w:marBottom w:val="0"/>
      <w:divBdr>
        <w:top w:val="none" w:sz="0" w:space="0" w:color="auto"/>
        <w:left w:val="none" w:sz="0" w:space="0" w:color="auto"/>
        <w:bottom w:val="none" w:sz="0" w:space="0" w:color="auto"/>
        <w:right w:val="none" w:sz="0" w:space="0" w:color="auto"/>
      </w:divBdr>
      <w:divsChild>
        <w:div w:id="1323310039">
          <w:marLeft w:val="0"/>
          <w:marRight w:val="0"/>
          <w:marTop w:val="0"/>
          <w:marBottom w:val="0"/>
          <w:divBdr>
            <w:top w:val="none" w:sz="0" w:space="0" w:color="auto"/>
            <w:left w:val="none" w:sz="0" w:space="0" w:color="auto"/>
            <w:bottom w:val="none" w:sz="0" w:space="0" w:color="auto"/>
            <w:right w:val="none" w:sz="0" w:space="0" w:color="auto"/>
          </w:divBdr>
        </w:div>
        <w:div w:id="211115690">
          <w:marLeft w:val="0"/>
          <w:marRight w:val="0"/>
          <w:marTop w:val="0"/>
          <w:marBottom w:val="0"/>
          <w:divBdr>
            <w:top w:val="none" w:sz="0" w:space="0" w:color="auto"/>
            <w:left w:val="none" w:sz="0" w:space="0" w:color="auto"/>
            <w:bottom w:val="none" w:sz="0" w:space="0" w:color="auto"/>
            <w:right w:val="none" w:sz="0" w:space="0" w:color="auto"/>
          </w:divBdr>
        </w:div>
        <w:div w:id="1168980444">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761639464">
      <w:bodyDiv w:val="1"/>
      <w:marLeft w:val="0"/>
      <w:marRight w:val="0"/>
      <w:marTop w:val="0"/>
      <w:marBottom w:val="0"/>
      <w:divBdr>
        <w:top w:val="none" w:sz="0" w:space="0" w:color="auto"/>
        <w:left w:val="none" w:sz="0" w:space="0" w:color="auto"/>
        <w:bottom w:val="none" w:sz="0" w:space="0" w:color="auto"/>
        <w:right w:val="none" w:sz="0" w:space="0" w:color="auto"/>
      </w:divBdr>
      <w:divsChild>
        <w:div w:id="2137983226">
          <w:marLeft w:val="0"/>
          <w:marRight w:val="0"/>
          <w:marTop w:val="0"/>
          <w:marBottom w:val="0"/>
          <w:divBdr>
            <w:top w:val="none" w:sz="0" w:space="0" w:color="auto"/>
            <w:left w:val="none" w:sz="0" w:space="0" w:color="auto"/>
            <w:bottom w:val="none" w:sz="0" w:space="0" w:color="auto"/>
            <w:right w:val="none" w:sz="0" w:space="0" w:color="auto"/>
          </w:divBdr>
        </w:div>
        <w:div w:id="2035619202">
          <w:marLeft w:val="0"/>
          <w:marRight w:val="0"/>
          <w:marTop w:val="0"/>
          <w:marBottom w:val="0"/>
          <w:divBdr>
            <w:top w:val="none" w:sz="0" w:space="0" w:color="auto"/>
            <w:left w:val="none" w:sz="0" w:space="0" w:color="auto"/>
            <w:bottom w:val="none" w:sz="0" w:space="0" w:color="auto"/>
            <w:right w:val="none" w:sz="0" w:space="0" w:color="auto"/>
          </w:divBdr>
        </w:div>
        <w:div w:id="467236778">
          <w:marLeft w:val="0"/>
          <w:marRight w:val="0"/>
          <w:marTop w:val="0"/>
          <w:marBottom w:val="0"/>
          <w:divBdr>
            <w:top w:val="none" w:sz="0" w:space="0" w:color="auto"/>
            <w:left w:val="none" w:sz="0" w:space="0" w:color="auto"/>
            <w:bottom w:val="none" w:sz="0" w:space="0" w:color="auto"/>
            <w:right w:val="none" w:sz="0" w:space="0" w:color="auto"/>
          </w:divBdr>
        </w:div>
      </w:divsChild>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 w:id="2018115812">
      <w:bodyDiv w:val="1"/>
      <w:marLeft w:val="0"/>
      <w:marRight w:val="0"/>
      <w:marTop w:val="0"/>
      <w:marBottom w:val="0"/>
      <w:divBdr>
        <w:top w:val="none" w:sz="0" w:space="0" w:color="auto"/>
        <w:left w:val="none" w:sz="0" w:space="0" w:color="auto"/>
        <w:bottom w:val="none" w:sz="0" w:space="0" w:color="auto"/>
        <w:right w:val="none" w:sz="0" w:space="0" w:color="auto"/>
      </w:divBdr>
      <w:divsChild>
        <w:div w:id="777606771">
          <w:marLeft w:val="0"/>
          <w:marRight w:val="0"/>
          <w:marTop w:val="0"/>
          <w:marBottom w:val="0"/>
          <w:divBdr>
            <w:top w:val="none" w:sz="0" w:space="0" w:color="auto"/>
            <w:left w:val="none" w:sz="0" w:space="0" w:color="auto"/>
            <w:bottom w:val="none" w:sz="0" w:space="0" w:color="auto"/>
            <w:right w:val="none" w:sz="0" w:space="0" w:color="auto"/>
          </w:divBdr>
        </w:div>
        <w:div w:id="665934491">
          <w:marLeft w:val="0"/>
          <w:marRight w:val="0"/>
          <w:marTop w:val="0"/>
          <w:marBottom w:val="0"/>
          <w:divBdr>
            <w:top w:val="none" w:sz="0" w:space="0" w:color="auto"/>
            <w:left w:val="none" w:sz="0" w:space="0" w:color="auto"/>
            <w:bottom w:val="none" w:sz="0" w:space="0" w:color="auto"/>
            <w:right w:val="none" w:sz="0" w:space="0" w:color="auto"/>
          </w:divBdr>
        </w:div>
        <w:div w:id="374547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safe.govt.nz/profs/PUArticles/June2021/Colchicine-painful-insights-recent-poisoning-data-New-Zealand.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tga.gov.au/alert/pregabalin-and-gabapentin" TargetMode="External"/><Relationship Id="rId4" Type="http://schemas.openxmlformats.org/officeDocument/2006/relationships/settings" Target="settings.xml"/><Relationship Id="rId9" Type="http://schemas.openxmlformats.org/officeDocument/2006/relationships/hyperlink" Target="https://www.medsafe.govt.nz/safety/Alerts/PregabalinAndDermatitis.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902</TotalTime>
  <Pages>5</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CHUQUAN</cp:lastModifiedBy>
  <cp:revision>614</cp:revision>
  <cp:lastPrinted>2020-11-19T03:17:00Z</cp:lastPrinted>
  <dcterms:created xsi:type="dcterms:W3CDTF">2020-07-26T06:21:00Z</dcterms:created>
  <dcterms:modified xsi:type="dcterms:W3CDTF">2021-06-24T00:41:00Z</dcterms:modified>
</cp:coreProperties>
</file>